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body>
    <w:p>
      <w:pPr>
        <w:spacing w:after="0"/>
        <w:ind w:left="0"/>
        <w:jc w:val="left"/>
      </w:pPr>
      <w:bookmarkStart w:name="id107" w:id="0"/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  <w:sz w:val="22"/>
        </w:rPr>
        <w:t xml:space="preserve">CID: </w:t>
      </w:r>
      <w:r>
        <w:rPr>
          <w:rFonts w:ascii="Calibri" w:hAnsi="Calibri" w:eastAsia="Calibri" w:cs="Calibri"/>
          <w:b/>
          <w:i w:val="false"/>
          <w:color w:val="000000"/>
          <w:sz w:val="22"/>
        </w:rPr>
        <w:t>F7B6-4E17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Sprawozdanie okresowe z realizacji programu ochrony powietrza oraz jego aktualizacji </w:t>
      </w:r>
      <w:r>
        <w:rPr>
          <w:rFonts w:ascii="Calibri" w:hAnsi="Calibri" w:eastAsia="Calibri" w:cs="Calibri"/>
          <w:b/>
          <w:i w:val="false"/>
          <w:color w:val="000000"/>
          <w:vertAlign w:val="superscript"/>
        </w:rPr>
        <w:t>1)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I. Informacja ogólna na temat sprawozdania okresowego z realizacji programu ochrony powietrza</w:t>
      </w:r>
    </w:p>
    <w:bookmarkStart w:name="id10b" w:id="1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9246"/>
        <w:gridCol w:w="3796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Opis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Rok referencyjny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2023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Województwo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KUJAWSKO-POMORSKIE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programu ochrony powietrza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PL0404PM10dBaPa_2018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10c-w-lbl" w:id="2"/>
            <w:bookmarkEnd w:id="2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strony internetowej, pod którym znajduje się sprawozdanie okresowe z realizacji programu ochrony powietrza</w:t>
            </w:r>
            <w:bookmarkStart w:name="id10c-w-lbl" w:id="3"/>
            <w:bookmarkEnd w:id="3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www.bip.rojewo.pl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urzędu marszałkowskiego/urzędu miasta/urzędu gminy/starostwa powiatowego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Gmina Rojewo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pocztowy urzędu marszałkowskiego/urzędu miasta/urzędu gminy/starostwa powiatowego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8\-, Rojewo, 88-111 Rojewo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10e-w-lbl" w:id="4"/>
            <w:bookmarkEnd w:id="4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name="id10e-w-lbl" w:id="5"/>
            <w:bookmarkEnd w:id="5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Magdalena Świderska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110-w-lbl" w:id="6"/>
            <w:bookmarkEnd w:id="6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name="id110-w-lbl" w:id="7"/>
            <w:bookmarkEnd w:id="7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523511390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112-w-lbl" w:id="8"/>
            <w:bookmarkEnd w:id="8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adres poczty elektronicznej pracownika/pracowników urzędu marszałkowskiego/urzędu miasta/urzędu gminy/starostwa powiatowego odpowiedzialnego/odpowiedzialnych za przygotowanie danych</w:t>
            </w:r>
            <w:bookmarkStart w:name="id112-w-lbl" w:id="9"/>
            <w:bookmarkEnd w:id="9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ref.komunalny@rojewo.pl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bookmarkEnd w:id="1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II. Zestawienie informacji na temat realizacji działań naprawczych</w:t>
      </w:r>
    </w:p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3500"/>
        <w:gridCol w:w="9542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9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Odpowiedź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działania naprawczego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9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PL0404_ZSO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Tytuł</w:t>
            </w:r>
          </w:p>
        </w:tc>
        <w:tc>
          <w:tcPr>
            <w:tcW w:w="9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Ograniczenie emisji z instalacji o małej mocy do 1 MW, w których następuje spalanie paliw stałych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Kod sytuacji przekroczenia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9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115-w-lbl" w:id="10"/>
            <w:bookmarkEnd w:id="10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Opis</w:t>
            </w:r>
            <w:bookmarkStart w:name="id115-w-lbl" w:id="11"/>
            <w:bookmarkEnd w:id="11"/>
          </w:p>
        </w:tc>
        <w:tc>
          <w:tcPr>
            <w:tcW w:w="9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Zastąpienie niskosprawnych urządzeń grzewczych opalanych paliwami stałymi podłączeniem do sieci ciepłowniczej lub kotłami na ogrzewanie gazowe, elektryczne, zasilanymi olejem opałowym, OZE lub kotłami węglowymi/na biomasę spełniającymi wymagania ekoprojektu w budynkach mieszkalnych, lokalach, budynkach użyteczności publicznej, budynkach usługowych, produkcyjnych i handlowych. Prowadzenie działań termomodernizacyjnych w celu zwiększenia efektywności energetycznej budynków, w których dokonywana jest wymiana urządzeń grzewczych.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i 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9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strefa kujawsko-pomorska 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Obszar</w:t>
            </w:r>
          </w:p>
        </w:tc>
        <w:tc>
          <w:tcPr>
            <w:tcW w:w="9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gm. wiejska 0407082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Termin zastosowania</w:t>
            </w:r>
          </w:p>
        </w:tc>
        <w:tc>
          <w:tcPr>
            <w:tcW w:w="9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styczeń 2023 - lipiec 2023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Stan zaawansowania realizacji działania naprawczego w odniesieniu do wartości zaplanowanej do wykonania w danym roku sprawozdawczym  [%]</w:t>
            </w:r>
          </w:p>
        </w:tc>
        <w:tc>
          <w:tcPr>
            <w:tcW w:w="9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83 %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Skala czasowa osiągnięcia redukcji stężenia</w:t>
            </w:r>
          </w:p>
        </w:tc>
        <w:tc>
          <w:tcPr>
            <w:tcW w:w="9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długoterminowe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Kategoria źródeł emisji, której dotyczy działanie naprawcze</w:t>
            </w:r>
          </w:p>
        </w:tc>
        <w:tc>
          <w:tcPr>
            <w:tcW w:w="9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D: źródła związane z handlem i mieszkalnictwem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Efekt rzeczowy działania naprawczego obliczony (oszacowany) na podstawie wskaźnika(-ków) monitorowania postępu realizacji działania naprawczego w ciągu roku realizacji programu ochrony powietrza                                                             </w:t>
            </w:r>
          </w:p>
        </w:tc>
        <w:tc>
          <w:tcPr>
            <w:tcW w:w="9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 xml:space="preserve">Miasto / ulica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Bród Kamienny; Dąbie; Jaszczółtowo; Jezuicka Struga; Mierogoniewice; Płonkowo; Rojewice; Rojewo; Topola; Wybranowo; Zawiszyn; Ściborze</w:t>
            </w:r>
          </w:p>
          <w:p>
            <w:pPr>
              <w:spacing w:after="0"/>
              <w:ind w:left="0"/>
              <w:jc w:val="left"/>
            </w:pPr>
            <w:bookmarkStart w:name="id117" w:id="12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nowo wybudowanych budynków mieszkalnych lub lokali, które wykorzystują niskoemisyjne lub zeroemisyjne źródła ciepła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</w:tbl>
          <w:p/>
          <w:bookmarkEnd w:id="12"/>
          <w:p>
            <w:pPr>
              <w:spacing w:after="0"/>
              <w:ind w:left="0"/>
              <w:jc w:val="left"/>
            </w:pPr>
            <w:bookmarkStart w:name="id118" w:id="13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zlikwidowanych kotłów na paliwo stałe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0"/>
            </w:tblGrid>
            <w:tr>
              <w:trPr>
                <w:trHeight w:val="30" w:hRule="atLeast"/>
              </w:trPr>
              <w:tc>
                <w:tcPr>
                  <w:tcW w:w="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20</w:t>
                  </w:r>
                </w:p>
              </w:tc>
            </w:tr>
          </w:tbl>
          <w:p/>
          <w:bookmarkEnd w:id="13"/>
          <w:p>
            <w:pPr>
              <w:spacing w:after="0"/>
              <w:ind w:left="0"/>
              <w:jc w:val="left"/>
            </w:pPr>
            <w:bookmarkStart w:name="id119" w:id="14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[szt.] budynków, w tym jednorodzinnych i wielorodzinnych lub lokali, w których została dokonana: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711"/>
              <w:gridCol w:w="4711"/>
            </w:tblGrid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podłączenie do sieci cieplnej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paliwa węglowego na gazowe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instalacja pompy ciepła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kotła na nowy kocioł węglowy spełniający wymagania ekoprojektu, zasilany ręczne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kotła na nowy kocioł węglowy spełniający wymagania ekoprojektu, zasilany automatycznie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kotła na nowy kocioł na biomasę spełniający wymagania ekoprojektu, zasilany ręcznie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kotła na nowy kocioł na biomasę spełniający wymagania ekoprojektu, zasilany automatycznie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ogrzewania węglowego na elektryczne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paliwa węglowego na olejowe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paliwa na gazowe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paliwa na olejowe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kotła na węglowy spełniający wymagania ekoprojektu, ręczny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kotła na węglowy spełniający wymagania ekoprojektu, automatyczny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kotła na biomasę spełniający wymagania ekoprojektu, ręczny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kotła na biomasę spełniający wymagania ekoprojektu, automatyczny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likwidacja kotła węglowego poprzez podłączenie do sieci cieplnej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likwidacja kotła węglowego poprzez podłączenie pompy ciepła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likwidacja kotła węglowego poprzez zastosowanie ogrzewania elektrycznego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</w:tbl>
          <w:p/>
          <w:bookmarkEnd w:id="14"/>
          <w:p>
            <w:pPr>
              <w:spacing w:after="0"/>
              <w:ind w:left="0"/>
              <w:jc w:val="left"/>
            </w:pPr>
            <w:bookmarkStart w:name="id11a" w:id="15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Powierzchnia [m²] budynków, w tym jednorodzinnych i wielorodzinnych lub lokali, w których została dokonana: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711"/>
              <w:gridCol w:w="4711"/>
            </w:tblGrid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podłączenie do sieci cieplnej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paliwa węglowego na gazowe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instalacja pompy ciepła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3125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kotła na nowy kocioł węglowy spełniający wymagania ekoprojektu, zasilany ręczne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kotła na nowy kocioł węglowy spełniający wymagania ekoprojektu, zasilany automatycznie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kotła na nowy kocioł na biomasę spełniający wymagania ekoprojektu, zasilany ręcznie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kotła na nowy kocioł na biomasę spełniający wymagania ekoprojektu, zasilany automatycznie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ogrzewania węglowego na elektryczne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paliwa węglowego na olejowe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paliwa na gazowe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paliwa na olejowe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kotła na węglowy spełniający wymagania ekoprojektu, ręczny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kotła na węglowy spełniający wymagania ekoprojektu, automatyczny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kotła na biomasę spełniający wymagania ekoprojektu, ręczny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kotła na biomasę spełniający wymagania ekoprojektu, automatyczny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likwidacja kotła węglowego poprzez podłączenie do sieci cieplnej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likwidacja kotła węglowego poprzez podłączenie pompy ciepła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likwidacja kotła węglowego poprzez zastosowanie ogrzewania elektrycznego</w:t>
                  </w:r>
                </w:p>
              </w:tc>
              <w:tc>
                <w:tcPr>
                  <w:tcW w:w="47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</w:tbl>
          <w:p/>
          <w:bookmarkEnd w:id="15"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12.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Redukcja wielkości emisji poszczególnych substancji w powietrzu w ciągu roku osiągnięta w wyniku realizacji działania naprawczego, w ciągu roku realizacji programu ochrony powietrza (Mg/rok)</w:t>
            </w:r>
          </w:p>
        </w:tc>
        <w:tc>
          <w:tcPr>
            <w:tcW w:w="9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Całkowita szacunkowa redukcja emisji [Mg/rok]</w:t>
            </w:r>
          </w:p>
          <w:p>
            <w:pPr>
              <w:spacing w:after="0"/>
              <w:ind w:left="0"/>
              <w:jc w:val="left"/>
            </w:pPr>
            <w:bookmarkStart w:name="id11b" w:id="16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PM10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40"/>
            </w:tblGrid>
            <w:tr>
              <w:trPr>
                <w:trHeight w:val="30" w:hRule="atLeast"/>
              </w:trPr>
              <w:tc>
                <w:tcPr>
                  <w:tcW w:w="12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1,64</w:t>
                  </w:r>
                </w:p>
              </w:tc>
            </w:tr>
          </w:tbl>
          <w:p/>
          <w:bookmarkEnd w:id="16"/>
          <w:p>
            <w:pPr>
              <w:spacing w:after="0"/>
              <w:ind w:left="0"/>
              <w:jc w:val="left"/>
            </w:pPr>
            <w:bookmarkStart w:name="id11c" w:id="17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B(a)P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520"/>
            </w:tblGrid>
            <w:tr>
              <w:trPr>
                <w:trHeight w:val="30" w:hRule="atLeast"/>
              </w:trPr>
              <w:tc>
                <w:tcPr>
                  <w:tcW w:w="2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0,000814</w:t>
                  </w:r>
                </w:p>
              </w:tc>
            </w:tr>
          </w:tbl>
          <w:p/>
          <w:bookmarkEnd w:id="17"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13.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poniesionych kosztów (w PLN)</w:t>
            </w:r>
          </w:p>
        </w:tc>
        <w:tc>
          <w:tcPr>
            <w:tcW w:w="9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654378,00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03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[PLN]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507658,78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14.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poniesionych kosztów (w EUR)</w:t>
            </w:r>
          </w:p>
        </w:tc>
        <w:tc>
          <w:tcPr>
            <w:tcW w:w="9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146932,37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38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[EUR]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113988,41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15.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11d-w-lbl" w:id="18"/>
            <w:bookmarkEnd w:id="18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  <w:bookmarkStart w:name="id11d-w-lbl" w:id="19"/>
            <w:bookmarkEnd w:id="19"/>
          </w:p>
        </w:tc>
        <w:tc>
          <w:tcPr>
            <w:tcW w:w="9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Informacje dodatkowe o kierunkach i zakresie podjętych działań naprawczych – zgodnie z Dz.U.2023 poz. 350, §10 ust. 1, pkt 1
                            </w:t>
      </w:r>
    </w:p>
    <w:p>
      <w:pPr>
        <w:spacing w:after="0"/>
        <w:ind w:left="0"/>
        <w:jc w:val="left"/>
      </w:pPr>
      <w:bookmarkStart w:name="id120" w:id="20"/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W dniu 24 czerwca 2019 r. Sejmik Województwa Kujawsko - Pomorskiego przyjął tzw. uchwałę antysmogową, tj. uchwałę wprowadzającą na obszarze województwa kujawsko - pomorskiego ograniczenia i zakazy w zakresie eksploatacji instalacji, w których następuje spalanie paliw a także uchwałę zmieniającą.</w:t>
      </w:r>
    </w:p>
    <w:bookmarkEnd w:id="20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Podsumowanie kosztów realizacji działań naprawczych</w:t>
      </w:r>
    </w:p>
    <w:bookmarkStart w:name="id122" w:id="21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6"/>
        <w:gridCol w:w="1440"/>
        <w:gridCol w:w="1440"/>
      </w:tblGrid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PLN</w:t>
            </w:r>
          </w:p>
        </w:tc>
        <w:bookmarkStart w:name="id123" w:id="22"/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EUR</w:t>
            </w:r>
          </w:p>
        </w:tc>
        <w:bookmarkEnd w:id="22"/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Szacunkowa wysokość całkowita kosztów, w tym: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654378,00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146932,37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Środki własne JST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Środki WFOŚiGW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Środki NFOŚiGW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507658,78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113988,41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Fundusze unijne RPO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Fundusze unijne POIŚ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Inne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</w:tbl>
    <w:bookmarkEnd w:id="21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Podsumowanie efektów ekologicznych</w:t>
      </w:r>
    </w:p>
    <w:bookmarkStart w:name="id124" w:id="23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472"/>
        <w:gridCol w:w="6660"/>
      </w:tblGrid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Nazwa substancji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Całkowita szacunkowa redukcja emisji [Mg/rok]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PM10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1,64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PM2,5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B(a)P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0,000814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Benzen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Arsen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Nikiel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SO₂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NOx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CO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NMLZO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</w:tbl>
    <w:bookmarkEnd w:id="23"/>
    <w:bookmarkStart w:name="id125" w:id="24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Objaśnienia: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1)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Informacja dotycząca sprawozdania okresowego z realizacji programu ochrony powietrza jest tożsama z informacją dotyczącą sprawozdania okresowego z realizacji aktualizacji programu ochrony powietrza.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2)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strefy określony zgodnie z art. 87 ust. 2a ustawy z dnia 27 kwietnia 2001 r. – Prawo ochrony środowiska (Dz. U. z 2022 r. poz. 2556, z późn. zm.) w załączniku do tej ustawy.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3)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dla programu może faktycznie być kodem strefy określonym w załączniku do ustawy z dnia 27 kwietnia 2001 r. – Prawo ochrony środowiska, do którego dodaje się symbol substancji, dla której zostały wykonane program ochrony powietrza lub jego aktualizacja, wraz z podaniem okresu uśredniania wyników pomiarów (na przykład PL1401PM10a). W przypadku aktualizacji programu ochrony powietrza można zastosować nowy kod programu aktualizowanego.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4)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działania naprawczego służący do identyfikacji działań naprawczych w sprawozdaniu z realizacji programu ochrony powietrza lub jego aktualizacji przygotowywanym zgodnie z wymaganiami określonymi w przepisach wydanych na podstawie art. 94 ust. 3 ustawy z dnia 27 kwietnia 2001 r. – Prawo ochrony środowiska.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5)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sytuacji przekroczenia służący do identyfikacji sytuacji przekroczeń w strefie. Każdej sytuacji przekroczenia nadaje się kod. Kod składa się z 7 pól: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a) kod kraju (dwa znaki: PL),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b) kod województwa (dwa znaki),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c) rok referencyjny, dla którego została wykonana roczna ocena jakości powietrza według art. 89 ustawy z dnia 27 kwietnia 2001 r. – Prawo ochrony środowiska (cztery cyfry),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d) kod strefy,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e) symbol zanieczyszczenia,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f) symbol czasu uśredniania (h/d/a/8) stężeń przekraczających poziom dopuszczalny lub poziom docelowy,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g) numer kolejny obszaru przekroczeń w strefie (dwa znaki).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Poszczególne pola należy oddzielać znakiem podkreślenia.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Przykład: PL_Mz_2018_PM10_d_01.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Wskazany sposób kodowania sytuacji przekroczeń stosuje się począwszy od 2020 r. – dla roku referencyjnego – 2019, dla którego wykonana została ocena jakości powietrza zgodnie z art. 89 ustawy z dnia 27 kwietnia 2001 r. – Prawo ochrony środowiska.</w:t>
      </w:r>
    </w:p>
    <w:bookmarkEnd w:id="24"/>
    <w:bookmarkStart w:name="id126" w:id="25"/>
    <w:p>
      <w:pPr>
        <w:pageBreakBefore/>
        <w:spacing w:after="0"/>
        <w:ind w:left="0"/>
        <w:jc w:val="left"/>
      </w:pPr>
      <w:bookmarkStart w:name="id127" w:id="26"/>
    </w:p>
    <w:bookmarkEnd w:id="26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Sprawozdanie z realizacji planu działań krótkoterminowych </w:t>
      </w:r>
      <w:r>
        <w:rPr>
          <w:rFonts w:ascii="Calibri" w:hAnsi="Calibri" w:eastAsia="Calibri" w:cs="Calibri"/>
          <w:b/>
          <w:i w:val="false"/>
          <w:color w:val="000000"/>
          <w:vertAlign w:val="superscript"/>
        </w:rPr>
        <w:t>1)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bookmarkStart w:name="id12e" w:id="27"/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Nie realizowano planu działań krótkoterminowych</w:t>
      </w:r>
    </w:p>
    <w:bookmarkEnd w:id="27"/>
    <w:bookmarkEnd w:id="25"/>
    <w:bookmarkEnd w:id="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docDefaults>
    <w:rPrDefault>
      <w:rPr>
        <w:rFonts w:ascii="Calibri" w:hAnsi="Calibri" w:eastAsia="Calibri" w:cs="Calibri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  <w:rPr>
      <w:lang w:val="pl-PL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lang w:val="pl-PL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